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WStrG — Selbstverschuldete Trunkenheit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Selbstverschuldete Trunkenheit führt nicht zu einer Milderung der angedrohten Strafe, wenn die Tat eine militärische Straftat ist, gegen das Kriegsvölkerrecht verstößt oder in Ausübung des Dienstes begangen wird.</w:t>
      </w:r>
    </w:p>
    <w:p>
      <w:r>
        <w:t xml:space="preserve">(2) Der Trunkenheit steht ein Rausch anderer Art gleich.</w:t>
      </w:r>
    </w:p>
    <w:p>
      <w:r>
        <w:rPr>
          <w:color w:val="555555"/>
          <w:sz w:val="17"/>
        </w:rPr>
        <w:t xml:space="preserve">Zitiervorschlag: § 7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