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WStrG — Verletzung anderer Dienstpflichten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Anwendung der Vorschriften des Strafgesetzbuches über</w:t>
      </w:r>
    </w:p>
    <w:p>
      <w:pPr>
        <w:ind w:left="420"/>
      </w:pPr>
      <w:r>
        <w:t xml:space="preserve">Gefangenenbefreiung (§ 120 Abs. 2),Verletzung der Vertraulichkeit des Wortes (§ 201 Abs. 3),Verletzung von Privatgeheimnissen (§ 203 Absatz 2, 5 und 6, §§ 204, 205),Verletzung des Post- oder Fernmeldegeheimnisses (§ 206 Abs. 4),Vorteilsannahme und Bestechlichkeit (§§ 331, 332, 335 Abs. 1 Nr. 1 Buchstabe a, Abs. 2, § 336),Körperverletzung im Amt (§ 340),Aussageerpressung (§ 343),Vollstreckung gegen Unschuldige (§ 345),Falschbeurkundung im Amt (§ 348) undVerletzung des Dienstgeheimnisses (§ 353b Abs. 1)</w:t>
      </w:r>
    </w:p>
    <w:p>
      <w:r>
        <w:t xml:space="preserve">stehen Offiziere und Unteroffiziere den Amtsträgern und ihr Wehrdienst dem Amt gleich.</w:t>
      </w:r>
    </w:p>
    <w:p>
      <w:r>
        <w:t xml:space="preserve">(2) Für die Anwendung der Vorschriften des Strafgesetzbuches über Gefangenenbefreiung (§ 120 Abs. 2), Vorteilsannahme und Bestechlichkeit (§§ 331, 332, 335 Absatz 1 Nummer 1 Buchstabe a, Absatz 2, § 336), Falschbeurkundung im Amt (§ 348) und Verletzung des Dienstgeheimnisses (§ 353b Abs. 1) stehen auch Mannschaften den Amtsträgern und ihr Wehrdienst dem Amt gleich.</w:t>
      </w:r>
    </w:p>
    <w:p>
      <w:r>
        <w:rPr>
          <w:color w:val="555555"/>
          <w:sz w:val="17"/>
        </w:rPr>
        <w:t xml:space="preserve">Zitiervorschlag: § 48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