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WStrG — Pflichtverletzung bei Sonderaufträgen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44 Abs. 1, 3 bis 6 wird auch bestraft, wer als Führer eines Kommandos oder einer Abteilung, der einen Sonderauftrag selbständig auszuführen hat und auf seine erhöhte Verantwortung hingewiesen worden ist,</w:t>
      </w:r>
    </w:p>
    <w:p>
      <w:pPr>
        <w:ind w:left="420"/>
      </w:pPr>
      <w:r>
        <w:t xml:space="preserve">1. sich außerstande setzt, den Auftrag pflichtgemäß zu erfüllen,</w:t>
      </w:r>
    </w:p>
    <w:p>
      <w:pPr>
        <w:ind w:left="420"/>
      </w:pPr>
      <w:r>
        <w:t xml:space="preserve">2. seinen Posten verläßt oder</w:t>
      </w:r>
    </w:p>
    <w:p>
      <w:pPr>
        <w:ind w:left="420"/>
      </w:pPr>
      <w:r>
        <w:t xml:space="preserve">3. Befehle nicht befolgt, die für die Ausführung des Auftrags gelten,</w:t>
      </w:r>
    </w:p>
    <w:p>
      <w:r>
        <w:t xml:space="preserve">und dadurch wenigstens fahrlässig eine schwerwiegende Folge (§ 2 Nr. 3) verursacht.</w:t>
      </w:r>
    </w:p>
    <w:p>
      <w:r>
        <w:rPr>
          <w:color w:val="555555"/>
          <w:sz w:val="17"/>
        </w:rPr>
        <w:t xml:space="preserve">Zitiervorschlag: § 45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