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WStrG — Unwahre dienstliche Meldung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</w:t>
      </w:r>
    </w:p>
    <w:p>
      <w:pPr>
        <w:ind w:left="420"/>
      </w:pPr>
      <w:r>
        <w:t xml:space="preserve">1. in einer dienstlichen Meldung oder Erklärung unwahre Angaben über Tatsachen von dienstlicher Bedeutung macht,</w:t>
      </w:r>
    </w:p>
    <w:p>
      <w:pPr>
        <w:ind w:left="420"/>
      </w:pPr>
      <w:r>
        <w:t xml:space="preserve">2. eine solche Meldung weitergibt, ohne sie pflichtgemäß zu berichtigen, oder</w:t>
      </w:r>
    </w:p>
    <w:p>
      <w:pPr>
        <w:ind w:left="420"/>
      </w:pPr>
      <w:r>
        <w:t xml:space="preserve">3. eine dienstliche Meldung unrichtig übermittelt</w:t>
      </w:r>
    </w:p>
    <w:p>
      <w:r>
        <w:t xml:space="preserve">und dadurch wenigstens fahrlässig eine schwerwiegende Folge (§ 2 Nr. 3) verursacht, wird mit Freiheitsstrafe bis zu drei Jahren bestraft.</w:t>
      </w:r>
    </w:p>
    <w:p>
      <w:r>
        <w:t xml:space="preserve">(2) Der Versuch ist strafbar.</w:t>
      </w:r>
    </w:p>
    <w:p>
      <w:r>
        <w:t xml:space="preserve">(3) Wer im Falle des Absatzes 1 leichtfertig handelt und die schwerwiegende Folge wenigstens fahrlässig verursacht, wird mit Freiheitsstrafe bis zu einem Jahr bestraft.</w:t>
      </w:r>
    </w:p>
    <w:p>
      <w:r>
        <w:rPr>
          <w:color w:val="555555"/>
          <w:sz w:val="17"/>
        </w:rPr>
        <w:t xml:space="preserve">Zitiervorschlag: § 42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