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WStrG — Militärische Straftaten gegen verbündete Streitkräfte</w:t>
      </w:r>
    </w:p>
    <w:p>
      <w:r>
        <w:rPr>
          <w:color w:val="555555"/>
          <w:sz w:val="18"/>
        </w:rPr>
        <w:t xml:space="preserve">Wehrstrafgesetz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sind auch dann anzuwenden, wenn ein Soldat der Bundeswehr eine militärische Straftat gegen Streitkräfte eines verbündeten Staates oder eines ihrer Mitglieder begeht.</w:t>
      </w:r>
    </w:p>
    <w:p>
      <w:r>
        <w:t xml:space="preserve">(2) Das Gericht kann von Strafe absehen, wenn die Wahrung der Disziplin in der Bundeswehr eine Bestrafung nicht erfordert.</w:t>
      </w:r>
    </w:p>
    <w:p>
      <w:r>
        <w:rPr>
          <w:color w:val="555555"/>
          <w:sz w:val="17"/>
        </w:rPr>
        <w:t xml:space="preserve">Zitiervorschlag: § 4 WStrG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