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WStrG — Anmaßen von Befehlsbefugnissen</w:t>
      </w:r>
    </w:p>
    <w:p>
      <w:r>
        <w:rPr>
          <w:color w:val="555555"/>
          <w:sz w:val="18"/>
        </w:rPr>
        <w:t xml:space="preserve">Wehrstrafgesetz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sich Befehlsbefugnis oder Disziplinarbefugnis anmaßt oder seine Befehlsbefugnis oder Disziplinarbefugnis überschreitet, wird mit Freiheitsstrafe bis zu zwei Jahren bestraft, wenn die Tat nicht in § 39 mit Strafe bedroht ist.</w:t>
      </w:r>
    </w:p>
    <w:p>
      <w:r>
        <w:rPr>
          <w:color w:val="555555"/>
          <w:sz w:val="17"/>
        </w:rPr>
        <w:t xml:space="preserve">Zitiervorschlag: § 38 WStrG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https://recht.nulegal.eu/gesetze/WStrG/38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