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WStrG — Beeinflussung der Rechtspflege</w:t>
      </w:r>
    </w:p>
    <w:p>
      <w:r>
        <w:rPr>
          <w:color w:val="555555"/>
          <w:sz w:val="18"/>
        </w:rPr>
        <w:t xml:space="preserve">Wehrstrafgesetz</w:t>
      </w:r>
    </w:p>
    <w:p>
      <w:r>
        <w:rPr>
          <w:color w:val="555555"/>
          <w:sz w:val="18"/>
        </w:rPr>
        <w:t xml:space="preserve">Stand: 10.06.2019 (konsolidierte Textfassung, kein amtliches Inkrafttretensdatum)</w:t>
      </w:r>
    </w:p>
    <w:p>
      <w:r>
        <w:t xml:space="preserve">Wer es unternimmt, durch Mißbrauch seiner Befehlsbefugnis oder Dienststellung unzulässigen Einfluß auf Soldaten zu nehmen, die als Organe der Rechtspflege tätig sind, wird mit Freiheitsstrafe bis zu fünf Jahren bestraft, wenn die Tat nicht in anderen Vorschriften mit schwererer Strafe bedroht ist.</w:t>
      </w:r>
    </w:p>
    <w:p>
      <w:r>
        <w:rPr>
          <w:color w:val="555555"/>
          <w:sz w:val="17"/>
        </w:rPr>
        <w:t xml:space="preserve">Zitiervorschlag: § 37 WStrG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https://recht.nulegal.eu/gesetze/WStrG/37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