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WStrG — Taten von Soldaten mit höherem Dienstgrad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30 bis 35 gelten entsprechend für Taten eines Soldaten, der zur Zeit der Tat nicht Vorgesetzter des anderen, aber</w:t>
      </w:r>
    </w:p>
    <w:p>
      <w:pPr>
        <w:ind w:left="420"/>
      </w:pPr>
      <w:r>
        <w:t xml:space="preserve">1. Offizier oder Unteroffizier ist und einen höheren Dienstgrad als der andere hat oder</w:t>
      </w:r>
    </w:p>
    <w:p>
      <w:pPr>
        <w:ind w:left="420"/>
      </w:pPr>
      <w:r>
        <w:t xml:space="preserve">2. im Dienst dessen Vorgesetzter ist</w:t>
      </w:r>
    </w:p>
    <w:p>
      <w:r>
        <w:t xml:space="preserve">und der bei der Tat seine Dienststellung mißbraucht.</w:t>
      </w:r>
    </w:p>
    <w:p>
      <w:r>
        <w:t xml:space="preserve">(2) In den Fällen des Absatzes 1 Nr. 1 ist § 4 nicht anzuwenden.</w:t>
      </w:r>
    </w:p>
    <w:p>
      <w:r>
        <w:rPr>
          <w:color w:val="555555"/>
          <w:sz w:val="17"/>
        </w:rPr>
        <w:t xml:space="preserve">Zitiervorschlag: § 36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