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WStrG — Mißbrauch der Befehlsbefugnis zu unzulässigen Zwecken</w:t>
      </w:r>
    </w:p>
    <w:p>
      <w:r>
        <w:rPr>
          <w:color w:val="555555"/>
          <w:sz w:val="18"/>
        </w:rPr>
        <w:t xml:space="preserve">Wehrstrafgesetz</w:t>
      </w:r>
    </w:p>
    <w:p>
      <w:r>
        <w:rPr>
          <w:color w:val="555555"/>
          <w:sz w:val="18"/>
        </w:rPr>
        <w:t xml:space="preserve">Stand: 10.06.2019 (konsolidierte Textfassung, kein amtliches Inkrafttretensdatum)</w:t>
      </w:r>
    </w:p>
    <w:p>
      <w:r>
        <w:t xml:space="preserve">Wer seine Befehlsbefugnis oder Dienststellung gegenüber einem Untergebenen zu Befehlen, Forderungen oder Zumutungen mißbraucht, die nicht in Beziehung zum Dienst stehen oder dienstlichen Zwecken zuwiderlaufen, wird mit Freiheitsstrafe bis zu zwei Jahren bestraft, wenn die Tat nicht in anderen Vorschriften mit schwererer Strafe bedroht ist.</w:t>
      </w:r>
    </w:p>
    <w:p>
      <w:r>
        <w:rPr>
          <w:color w:val="555555"/>
          <w:sz w:val="17"/>
        </w:rPr>
        <w:t xml:space="preserve">Zitiervorschlag: § 32 WStrG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https://recht.nulegal.eu/gesetze/WStrG/32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