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WStrG — Anwendung des allgemeinen Strafrechts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allgemeine Strafrecht ist anzuwenden, soweit dieses Gesetz nichts anderes bestimmt.</w:t>
      </w:r>
    </w:p>
    <w:p>
      <w:r>
        <w:t xml:space="preserve">(2) Für Straftaten von Soldaten, die Jugendliche oder Heranwachsende sind, gelten besondere Vorschriften des Jugendgerichtsgesetzes.</w:t>
      </w:r>
    </w:p>
    <w:p>
      <w:r>
        <w:rPr>
          <w:color w:val="555555"/>
          <w:sz w:val="17"/>
        </w:rPr>
        <w:t xml:space="preserve">Zitiervorschlag: § 3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