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WStrG — Verabredung zur Unbotmäßigkeit</w:t>
      </w:r>
    </w:p>
    <w:p>
      <w:r>
        <w:rPr>
          <w:color w:val="555555"/>
          <w:sz w:val="18"/>
        </w:rPr>
        <w:t xml:space="preserve">Wehrstrafgesetz</w:t>
      </w:r>
    </w:p>
    <w:p>
      <w:r>
        <w:rPr>
          <w:color w:val="555555"/>
          <w:sz w:val="18"/>
        </w:rPr>
        <w:t xml:space="preserve">Stand: 10.06.2019 (konsolidierte Textfassung, kein amtliches Inkrafttretensdatum)</w:t>
      </w:r>
    </w:p>
    <w:p>
      <w:r>
        <w:t xml:space="preserve">(1) Verabreden Soldaten, gemeinschaftlich eine Gehorsamsverweigerung (§ 20), eine Bedrohung (§ 23), eine Nötigung (§ 24), einen tätlichen Angriff (§ 25) oder eine Meuterei (§ 27) zu begehen, so werden sie nach den Vorschriften bestraft, die für die Begehung der Tat gelten. In den Fällen des § 27 kann die Strafe nach § 49 Abs. 1 des Strafgesetzbuches gemildert werden.</w:t>
      </w:r>
    </w:p>
    <w:p>
      <w:r>
        <w:t xml:space="preserve">(2) Nach Absatz 1 wird nicht bestraft, wer nach der Verabredung freiwillig die Tat verhindert. Unterbleibt sie ohne sein Zutun oder wird sie unabhängig von seinem früheren Verhalten begangen, so genügt zu seiner Straflosigkeit sein freiwilliges und ernsthaftes Bemühen, die Tat zu verhindern.</w:t>
      </w:r>
    </w:p>
    <w:p>
      <w:r>
        <w:rPr>
          <w:color w:val="555555"/>
          <w:sz w:val="17"/>
        </w:rPr>
        <w:t xml:space="preserve">Zitiervorschlag: § 28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