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WStrG — Verbindlichkeit des Befehls, Irrtum</w:t>
      </w:r>
    </w:p>
    <w:p>
      <w:r>
        <w:rPr>
          <w:color w:val="555555"/>
          <w:sz w:val="18"/>
        </w:rPr>
        <w:t xml:space="preserve">Wehrstrafgesetz</w:t>
      </w:r>
    </w:p>
    <w:p>
      <w:r>
        <w:rPr>
          <w:color w:val="555555"/>
          <w:sz w:val="18"/>
        </w:rPr>
        <w:t xml:space="preserve">Stand: 10.06.2019 (konsolidierte Textfassung, kein amtliches Inkrafttretensdatum)</w:t>
      </w:r>
    </w:p>
    <w:p>
      <w:r>
        <w:t xml:space="preserve">(1) In den Fällen der §§ 19 bis 21 handelt der Untergebene nicht rechtswidrig, wenn der Befehl nicht verbindlich ist, insbesondere wenn er nicht zu dienstlichen Zwecken erteilt ist oder die Menschenwürde verletzt oder wenn durch das Befolgen eine Straftat begangen würde. Dies gilt auch, wenn der Untergebene irrig annimmt, der Befehl sei verbindlich.</w:t>
      </w:r>
    </w:p>
    <w:p>
      <w:r>
        <w:t xml:space="preserve">(2) Befolgt ein Untergebener einen Befehl nicht, weil er irrig annimmt, daß durch die Ausführung eine Straftat begangen würde, so ist er nach den §§ 19 bis 21 nicht strafbar, wenn er den Irrtum nicht vermeiden konnte.</w:t>
      </w:r>
    </w:p>
    <w:p>
      <w:r>
        <w:t xml:space="preserve">(3) Nimmt ein Untergebener irrig an, daß ein Befehl aus anderen Gründen nicht verbindlich ist, und befolgt er ihn deshalb nicht, so ist er nach den §§ 19 bis 21 nicht strafbar, wenn er den Irrtum nicht vermeiden konnte und ihm nach den ihm bekannten Umständen auch nicht zuzumuten war, sich mit Rechtsbehelfen gegen den vermeintlich nicht verbindlichen Befehl zu wehren; war ihm dies zuzumuten, so kann das Gericht von einer Bestrafung nach den §§ 19 bis 21 absehen.</w:t>
      </w:r>
    </w:p>
    <w:p>
      <w:r>
        <w:rPr>
          <w:color w:val="555555"/>
          <w:sz w:val="17"/>
        </w:rPr>
        <w:t xml:space="preserve">Zitiervorschlag: § 22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