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WStrG — Gehorsamsverweigerung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drei Jahren wird bestraft,</w:t>
      </w:r>
    </w:p>
    <w:p>
      <w:pPr>
        <w:ind w:left="420"/>
      </w:pPr>
      <w:r>
        <w:t xml:space="preserve">1. wer die Befolgung eines Befehls dadurch verweigert, daß er sich mit Wort oder Tat gegen ihn auflehnt, oder</w:t>
      </w:r>
    </w:p>
    <w:p>
      <w:pPr>
        <w:ind w:left="420"/>
      </w:pPr>
      <w:r>
        <w:t xml:space="preserve">2. wer darauf beharrt, einen Befehl nicht zu befolgen, nachdem dieser wiederholt worden ist.</w:t>
      </w:r>
    </w:p>
    <w:p>
      <w:r>
        <w:t xml:space="preserve">(2) Verweigert der Täter in den Fällen des Absatzes 1 Nr. 1 den Gehorsam gegenüber einem Befehl, der nicht sofort auszuführen ist, befolgt er ihn aber rechtzeitig und freiwillig, so kann das Gericht von Strafe absehen.</w:t>
      </w:r>
    </w:p>
    <w:p>
      <w:r>
        <w:rPr>
          <w:color w:val="555555"/>
          <w:sz w:val="17"/>
        </w:rPr>
        <w:t xml:space="preserve">Zitiervorschlag: § 20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