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WStrG — Begriffsbestimmungen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eine militärische Straftat eine Handlung, die der Zweite Teil dieses Gesetzes mit Strafe bedroht;</w:t>
      </w:r>
    </w:p>
    <w:p>
      <w:pPr>
        <w:ind w:left="420"/>
      </w:pPr>
      <w:r>
        <w:t xml:space="preserve">2. ein Befehl eine Anweisung zu einem bestimmten Verhalten, die ein militärischer Vorgesetzter (§ 1 Abs. 3 des Soldatengesetzes) einem Untergebenen schriftlich, mündlich oder in anderer Weise, allgemein oder für den Einzelfall und mit dem Anspruch auf Gehorsam erteilt;</w:t>
      </w:r>
    </w:p>
    <w:p>
      <w:pPr>
        <w:ind w:left="420"/>
      </w:pPr>
      <w:r>
        <w:t xml:space="preserve">3. eine schwerwiegende Folge eine Gefahr für die Sicherheit der Bundesrepublik Deutschland, die Schlagkraft der Truppe, Leib oder Leben eines Menschen oder Sachen von bedeutendem Wert, die dem Täter nicht gehören.</w:t>
      </w:r>
    </w:p>
    <w:p>
      <w:r>
        <w:rPr>
          <w:color w:val="555555"/>
          <w:sz w:val="17"/>
        </w:rPr>
        <w:t xml:space="preserve">Zitiervorschlag: § 2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