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1a WStrG — Auslandstaten</w:t>
      </w:r>
    </w:p>
    <w:p>
      <w:r>
        <w:rPr>
          <w:color w:val="555555"/>
          <w:sz w:val="18"/>
        </w:rPr>
        <w:t xml:space="preserve">Wehrstrafgesetz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Das deutsche Strafrecht gilt, unabhängig vom Recht des Tatorts, für Taten, die nach diesem Gesetz mit Strafe bedroht sind und im Ausland begangen werden, wenn der Täter</w:t>
      </w:r>
    </w:p>
    <w:p>
      <w:pPr>
        <w:ind w:left="420"/>
      </w:pPr>
      <w:r>
        <w:t xml:space="preserve">1. Soldat oder früherer Soldat ist oder zu den in § 1 Abs. 2 bezeichneten Personen gehört oder</w:t>
      </w:r>
    </w:p>
    <w:p>
      <w:pPr>
        <w:ind w:left="420"/>
      </w:pPr>
      <w:r>
        <w:t xml:space="preserve">2. Deutscher ist und seine Lebensgrundlage im räumlichen Geltungsbereich dieses Gesetzes hat.</w:t>
      </w:r>
    </w:p>
    <w:p>
      <w:r>
        <w:t xml:space="preserve">(2) Das deutsche Strafrecht gilt, unabhängig vom Recht des Tatorts, auch für Taten, die ein Soldat während eines dienstlichen Aufenthalts oder in Beziehung auf den Dienst im Ausland begeht.</w:t>
      </w:r>
    </w:p>
    <w:p>
      <w:r>
        <w:rPr>
          <w:color w:val="555555"/>
          <w:sz w:val="17"/>
        </w:rPr>
        <w:t xml:space="preserve">Zitiervorschlag: § 1a WStrG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https://recht.nulegal.eu/gesetze/WStrG/1a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