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WStrG — Geltungsbereich</w:t>
      </w:r>
    </w:p>
    <w:p>
      <w:r>
        <w:rPr>
          <w:color w:val="555555"/>
          <w:sz w:val="18"/>
        </w:rPr>
        <w:t xml:space="preserve">Wehrstrafgesetz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Dieses Gesetz gilt für Straftaten, die Soldaten der Bundeswehr begehen.</w:t>
      </w:r>
    </w:p>
    <w:p>
      <w:r>
        <w:t xml:space="preserve">(2) Es gilt auch für Straftaten, durch die militärische Vorgesetzte, die nicht Soldaten sind, ihre Pflichten verletzen (§§ 30 bis 41).</w:t>
      </w:r>
    </w:p>
    <w:p>
      <w:r>
        <w:t xml:space="preserve">(3) Wegen einer Tätigkeit für eine fremde Macht (§ 47) sind auch frühere Soldaten strafbar.</w:t>
      </w:r>
    </w:p>
    <w:p>
      <w:r>
        <w:t xml:space="preserve">(4) Wegen Verletzung von Privatgeheimnissen (§ 203 Absatz 2, 5 und 6, §§ 204, 205 des Strafgesetzbuches), wegen Verletzung des Post- oder Fernmeldegeheimnisses (§ 206 Abs. 4 des Strafgesetzbuches) und wegen Verletzung des Dienstgeheimnisses (§ 353b Abs. 1 des Strafgesetzbuches) sind nach Maßgabe des § 48 auch frühere Soldaten strafbar, soweit ihnen diese Geheimnisse während des Wehrdienstes anvertraut worden oder sonst bekanntgeworden sind.</w:t>
      </w:r>
    </w:p>
    <w:p>
      <w:r>
        <w:t xml:space="preserve">(5) Wegen Anstiftung und Beihilfe zu militärischen Straftaten sowie wegen Versuchs der Beteiligung an solchen Straftaten ist nach diesem Gesetz auch strafbar, wer nicht Soldat ist.</w:t>
      </w:r>
    </w:p>
    <w:p>
      <w:r>
        <w:rPr>
          <w:color w:val="555555"/>
          <w:sz w:val="17"/>
        </w:rPr>
        <w:t xml:space="preserve">Zitiervorschlag: § 1 WStrG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https://recht.nulegal.eu/gesetze/WStrG/1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