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WStatG — Art der Statistik</w:t>
      </w:r>
    </w:p>
    <w:p>
      <w:r>
        <w:rPr>
          <w:color w:val="555555"/>
          <w:sz w:val="18"/>
        </w:rPr>
        <w:t xml:space="preserve">Wahlstatistikgesetz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dem Ergebnis der Wahlen gemäß § 1 sind unter Wahrung des Wahlgeheimnisses in ausgewählten Wahlbezirken repräsentative Wahlstatistiken über</w:t>
      </w:r>
    </w:p>
    <w:p>
      <w:pPr>
        <w:ind w:left="420"/>
      </w:pPr>
      <w:r>
        <w:t xml:space="preserve">a) die Wahlberechtigten, Wahlscheinvermerke und die Beteiligung an der Wahl nach Geschlecht und Geburtsjahresgruppen,</w:t>
      </w:r>
    </w:p>
    <w:p>
      <w:pPr>
        <w:ind w:left="420"/>
      </w:pPr>
      <w:r>
        <w:t xml:space="preserve">b) die Wähler und ihre Stimmabgabe für die einzelnen Wahlvorschläge nach Geschlecht und Geburtsjahresgruppen sowie die Gründe für die Ungültigkeit von Stimmen</w:t>
      </w:r>
    </w:p>
    <w:p>
      <w:r>
        <w:t xml:space="preserve">als Bundesstatistik zu erstellen.</w:t>
      </w:r>
    </w:p>
    <w:p>
      <w:r>
        <w:t xml:space="preserve">(2) In die Statistik nach Absatz 1 Buchstabe b sind ausgewählte Briefwahlbezirke einzubeziehen. Ein Briefwahlbezirk wird bestimmt durch die dem Briefwahlvorstand zugewiesene Zuständigkeit nach Wahlbezirken, die auf der Grundlage von § 2 Abs. 3 des Bundeswahlgesetzes oder von § 3 Abs. 2 des Europawahlgesetzes gebildet worden sind.</w:t>
      </w:r>
    </w:p>
    <w:p>
      <w:r>
        <w:rPr>
          <w:color w:val="555555"/>
          <w:sz w:val="17"/>
        </w:rPr>
        <w:t xml:space="preserve">Zitiervorschlag: § 2 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