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WStHAusbV — Gegenstand der Berufsausbildung und Ausbildungsrahmenplan</w:t>
      </w:r>
    </w:p>
    <w:p>
      <w:r>
        <w:rPr>
          <w:color w:val="555555"/>
          <w:sz w:val="18"/>
        </w:rPr>
        <w:t xml:space="preserve">Werksteinherstellerausbildungsverordnung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WStHAusbV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https://recht.nulegal.eu/gesetze/WStHAusbV/3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