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WStHAusbV — Prüfungsbereich Instandsetzen von Werksteinen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Instandsetzen von Werksteinen soll der Prüfling nachweisen, dass er in der Lage ist,</w:t>
      </w:r>
    </w:p>
    <w:p>
      <w:pPr>
        <w:ind w:left="420"/>
      </w:pPr>
      <w:r>
        <w:t xml:space="preserve">1. Schadensanalysen und Sanierungspläne zu erstellen,</w:t>
      </w:r>
    </w:p>
    <w:p>
      <w:pPr>
        <w:ind w:left="420"/>
      </w:pPr>
      <w:r>
        <w:t xml:space="preserve">2. Laboruntersuchungsergebnisse auszuwerten und</w:t>
      </w:r>
    </w:p>
    <w:p>
      <w:pPr>
        <w:ind w:left="420"/>
      </w:pPr>
      <w:r>
        <w:t xml:space="preserve">3. Betonsanierungsmethoden zu erläutern.</w:t>
      </w:r>
    </w:p>
    <w:p>
      <w:r>
        <w:t xml:space="preserve">(2) Der Prüfling soll Aufgaben schriftlich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11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