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WSchGV (Brandenburg) — Bezeichnung und Registrierung</w:t>
      </w:r>
    </w:p>
    <w:p>
      <w:r>
        <w:rPr>
          <w:color w:val="555555"/>
          <w:sz w:val="18"/>
        </w:rPr>
        <w:t xml:space="preserve">Waldschutzgebietsverfahrensverordnung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Geschützte Waldgebiete werden als „Schutzwald“ oder „Erholungswald“ bezeichnet. Diese Bezeichnungen dürfen nur für die nach § 12 Abs. 1 des Waldgesetzes des Landes Brandenburg geschützten Gebiete verwendet werden.</w:t>
      </w:r>
    </w:p>
    <w:p>
      <w:r>
        <w:t xml:space="preserve">(2) Die Registrierung der geschützten Waldgebiete erfolgt durch die oberste Forstbehörde. Das Register ist von jedermann einsehbar.</w:t>
      </w:r>
    </w:p>
    <w:p>
      <w:r>
        <w:rPr>
          <w:color w:val="555555"/>
          <w:sz w:val="17"/>
        </w:rPr>
        <w:t xml:space="preserve">Zitiervorschlag: § 3 WSchGV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https://recht.nulegal.eu/gesetze/WSchGV/3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