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WSchGV (Brandenburg) — Unbeachtlichkeit von Mängeln, Behebung von Fehlern</w:t>
      </w:r>
    </w:p>
    <w:p>
      <w:r>
        <w:rPr>
          <w:color w:val="555555"/>
          <w:sz w:val="18"/>
        </w:rPr>
        <w:t xml:space="preserve">Waldschutzgebietsverfahrensverordnung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Verletzung der in § 1 genannten Verfahrens- und Formvorschriften ist unbeachtlich, wenn sie nicht schriftlich unter Angabe der verletzten Rechtsvorschrift und des Sachverhalts, der die Verletzung begründen soll, innerhalb eines Jahres nach In-Kraft-Treten der auf Grund dieser Verordnung erlassenen Rechtsverordnung gegenüber der obersten Forstbehörde geltend gemacht worden ist.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der Rechtsverordnung unter den in Satz 1 genannten Voraussetzungen geltend gemacht worden sind. Bei der Verkündung der Rechtsverordnung ist auf die Rechtsfolgen nach den Sätzen 1 bis 3 hinzuweisen.</w:t>
      </w:r>
    </w:p>
    <w:p>
      <w:r>
        <w:t xml:space="preserve">(2) Eine Rechtsverordnung kann mit rückwirkender Kraft erneut erlassen werden, wenn sie eine Regelung, die auf einem Verfahrens- oder Formfehler beruht, ersetzt.</w:t>
      </w:r>
    </w:p>
    <w:p>
      <w:r>
        <w:rPr>
          <w:color w:val="555555"/>
          <w:sz w:val="17"/>
        </w:rPr>
        <w:t xml:space="preserve">Zitiervorschlag: § 2 WSchGV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https://recht.nulegal.eu/gesetze/WSchGV/2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