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WSVZustNeuOV</w:t>
      </w:r>
    </w:p>
    <w:p>
      <w:r>
        <w:rPr>
          <w:color w:val="555555"/>
          <w:sz w:val="18"/>
        </w:rPr>
        <w:t xml:space="preserve">Verordnung zur Anpassung von Zuständigkeiten der Wasser- und Schiffahrtsdirektionen an die Neuordnung der Wasser- und Schiffahrtsverwaltung des Bundes</w:t>
      </w:r>
    </w:p>
    <w:p>
      <w:r>
        <w:rPr>
          <w:color w:val="555555"/>
          <w:sz w:val="18"/>
        </w:rPr>
        <w:t xml:space="preserve">Stand: 10.06.2019 (konsolidierte Textfassung, kein amtliches Inkrafttretensdatum)</w:t>
      </w:r>
    </w:p>
    <w:p>
      <w:r>
        <w:t xml:space="preserve">Auf Grund</w:t>
      </w:r>
    </w:p>
    <w:p>
      <w:pPr>
        <w:ind w:left="420"/>
      </w:pPr>
      <w:r>
        <w:t xml:space="preserve">- der §§ 7, 9 Abs. 1 und 2 und des § 13 Abs. 3 des Gesetzes über die Aufgaben des Bundes auf dem Gebiet der Seeschiffahrt vom 24. Mai 1965 (Bundesgesetzbl. II S. 833), zuletzt geändert durch § 13 des Gesetzes über die Beförderung gefährlicher Güter vom 6. August 1975 (Bundesgesetzbl. I S. 2121),</w:t>
      </w:r>
    </w:p>
    <w:p>
      <w:pPr>
        <w:ind w:left="420"/>
      </w:pPr>
      <w:r>
        <w:t xml:space="preserve">- des § 12 Abs. 3 des Gesetzes über das Flaggenrecht der Seeschiffe und die Flaggenführung der Binnenschiffe vom 8. Februar 1951 (Bundesgesetzbl. I S. 79), zuletzt geändert durch § 29 Abs. 2 des Konsulargesetzes vom 11. September 1974 (Bundesgesetzbl. I S. 2317),</w:t>
      </w:r>
    </w:p>
    <w:p>
      <w:pPr>
        <w:ind w:left="420"/>
      </w:pPr>
      <w:r>
        <w:t xml:space="preserve">- des § 6 Abs. 1 Nr. 1 und Abs. 2 Satz 3 und des § 58 des Gesetzes über das Seelotswesen vom 13. Oktober 1954 (Bundesgesetzbl. II S. 1035), zuletzt geändert durch Artikel 283 des Einführungsgesetzes zum Strafgesetzbuch vom 2. März 1974 (Bundesgesetzbl. I S. 469),</w:t>
      </w:r>
    </w:p>
    <w:p>
      <w:pPr>
        <w:ind w:left="420"/>
      </w:pPr>
      <w:r>
        <w:t xml:space="preserve">- des Artikels 4 Abs. 3 des Gesetzes zu den Internationalen Übereinkommen vom 29. November 1969 über die zivilrechtliche Haftung für Ölverschmutzungsschäden und vom 18. Dezember 1971 über die Errichtung eines Internationalen Fonds zur Entschädigung für Ölverschmutzungsschäden vom 18. März 1975 (Bundesgesetzbl. II S. 301),</w:t>
      </w:r>
    </w:p>
    <w:p>
      <w:pPr>
        <w:ind w:left="420"/>
      </w:pPr>
      <w:r>
        <w:t xml:space="preserve">- der §§ 27 und 46 des Bundeswasserstraßengesetzes vom 2. April 1968 (Bundesgesetzbl. II S. 173), zuletzt geändert durch das Gesetz über den rechtlichen Status der Bundeswasserstraße Saar vom 7. April 1975 (Bundesgesetzbl. I S. 829),</w:t>
      </w:r>
    </w:p>
    <w:p>
      <w:pPr>
        <w:ind w:left="420"/>
      </w:pPr>
      <w:r>
        <w:t xml:space="preserve">- des § 3 Abs. 1 und 4, des § 3a und des § 7b Abs. 2 Satz 2 des Gesetzes über die Aufgaben des Bundes auf dem Gebiet der Binnenschiffahrt, zuletzt geändert durch § 13 des Gesetzes über die Beförderung gefährlicher Güter vom 6. August 1975 (Bundesgesetzbl. I S. 2121),</w:t>
      </w:r>
    </w:p>
    <w:p>
      <w:pPr>
        <w:ind w:left="420"/>
      </w:pPr>
      <w:r>
        <w:t xml:space="preserve">- des § 31a Abs. 1 Satz 3, des § 31c Abs. 2, des § 31d Abs. 2 Satz 1, des § 32a Abs. 1 und 4 und des § 39 Abs. 1 Satz 2 des Gesetzes über den gewerblichen Binnenschiffsverkehr in der Fassung der Bekanntmachung vom 8. Januar 1969 (Bundesgesetzbl. I S. 65), zuletzt geändert durch Artikel 275 des Einführungsgesetzes zum Strafgesetzbuch vom 2. März 1974 (Bundesgesetzbl. I S. 469),</w:t>
      </w:r>
    </w:p>
    <w:p>
      <w:pPr>
        <w:ind w:left="420"/>
      </w:pPr>
      <w:r>
        <w:t xml:space="preserve">- des § 36 Abs. 3 des Gesetzes über Ordnungswidrigkeiten vom 24. Mai 1968 (Bundesgesetzbl. I S. 481), zuletzt geändert durch Artikel 4 § 17 des Gesetzes zur Änderung des Gerichtskostengesetzes, des Gesetzes über Kosten der Gerichtsvollzieher, der Bundesgebührenordnung für Rechtsanwälte und anderer Vorschriften vom 20. August 1975 (Bundesgesetzbl. I S. 2189),und des Artikels 2 des Gesetzes zu dem Vertrag vom 26. Mai 1972 zwischen der Bundesrepublik Deutschland und der Deutschen Demokratischen Republik über Fragen des Verkehrs vom 16. Oktober 1972 (Bundesgesetzbl. II S. 1449)wird - hinsichtlich Artikel 1 Nr. 12 im Einvernehmen mit dem Bundesminister der Finanzen und hinsichtlich Artikel 1 Nr. 20 Buchstabe b nach Anhörung der Verbände der Binnenschiffahrt - verordnet:</w:t>
      </w:r>
    </w:p>
    <w:p>
      <w:r>
        <w:rPr>
          <w:color w:val="555555"/>
          <w:sz w:val="17"/>
        </w:rPr>
        <w:t xml:space="preserve">Zitiervorschlag: Eingangsformel WSVZustNeuOV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https://recht.nulegal.eu/gesetze/WSVZustNeuOV/eingangsformel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