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WSVSeeKostV 2004 — Inkrafttreten, Außerkrafttreten</w:t>
      </w:r>
    </w:p>
    <w:p>
      <w:r>
        <w:rPr>
          <w:color w:val="555555"/>
          <w:sz w:val="18"/>
        </w:rPr>
        <w:t xml:space="preserve">Kostenverordnung für Amtshandlungen der Wasserstraßen- und Schifffahrtsverwaltung des Bundes auf dem Gebiet der Seeschifffahrt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1. Oktober 2004 in Kraft.</w:t>
      </w:r>
    </w:p>
    <w:p>
      <w:r>
        <w:rPr>
          <w:color w:val="555555"/>
          <w:sz w:val="17"/>
        </w:rPr>
        <w:t xml:space="preserve">Zitiervorschlag: § 3 WSVSeeKostV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https://recht.nulegal.eu/gesetze/WSVSeeKostV%202004/3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