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WSVSeeKostV 2004 — Allgemeine Gebührengrundsätze</w:t>
      </w:r>
    </w:p>
    <w:p>
      <w:r>
        <w:rPr>
          <w:color w:val="555555"/>
          <w:sz w:val="18"/>
        </w:rPr>
        <w:t xml:space="preserve">Kostenverordnung für Amtshandlungen der Wasserstraßen- und Schifffahrtsverwaltung des Bundes auf dem Gebiet der Seeschifffahrt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Soweit im Gebührenverzeichnis Rahmengebühren vorgesehen sind, ist die im Einzelfall zu erhebende Gebühr nach Maßgabe des § 23 Absatz 4 Satz 2 und 3 des Bundesgebührengesetzes zu bemessen. Die Mindestgebühr ist nur dann zu erheben, wenn eine formularmäßige Bearbeitung möglich ist.</w:t>
      </w:r>
    </w:p>
    <w:p>
      <w:r>
        <w:t xml:space="preserve">(2) Die nach den Nummern 2 bis 7 und 49 bis 53 des Gebührenverzeichnisses zu erhebenden Gebühren sind um 50 Prozent zu erhöhen, sofern eine Dauergenehmigung erteilt wird. Für schifffahrtspolizeiliche Genehmigungen, für die</w:t>
      </w:r>
    </w:p>
    <w:p>
      <w:pPr>
        <w:ind w:left="420"/>
      </w:pPr>
      <w:r>
        <w:t xml:space="preserve">1. eine Sperrung des Fahrwassers oder</w:t>
      </w:r>
    </w:p>
    <w:p>
      <w:pPr>
        <w:ind w:left="420"/>
      </w:pPr>
      <w:r>
        <w:t xml:space="preserve">2. umfangreiche Überwachungs- und Verkehrslenkungsmaßnahmen durch die Schifffahrtspolizeibehörde erforderlich sind, ist die doppelte Gebühr zu erheben. Ein Zuschlag nach § 1 Abs. 3 bleibt hiervon unberührt.</w:t>
      </w:r>
    </w:p>
    <w:p>
      <w:r>
        <w:t xml:space="preserve">(3) Werden Gebühren nach der Schiffsgröße erhoben, so ist die im amtlichen Schiffsmessbrief ausgewiesene Bruttoraumzahl (BRZ) zugrunde zu legen.</w:t>
      </w:r>
    </w:p>
    <w:p>
      <w:r>
        <w:rPr>
          <w:color w:val="555555"/>
          <w:sz w:val="17"/>
        </w:rPr>
        <w:t xml:space="preserve">Zitiervorschlag: § 2 WSVSeeKostV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https://recht.nulegal.eu/gesetze/WSVSeeKostV%202004/2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