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WSO (Bayern) — Allgemeines</w:t>
      </w:r>
    </w:p>
    <w:p>
      <w:r>
        <w:rPr>
          <w:color w:val="555555"/>
          <w:sz w:val="18"/>
        </w:rPr>
        <w:t xml:space="preserve">Wirtschaftsschulordnung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Bewerberinnen und Bewerber, die an der von ihnen besuchten Schule den Wirtschaftsschulabschluss oder einen anderen mittleren Schulabschluss gemäß Art. 25 Abs. 1 Satz 2 BayEUG nicht erlangen können oder die keiner Schule angehören, können als andere Bewerberinnen und Bewerber zur Abschlussprüfung an einer öffentlichen Wirtschaftsschule zugelassen werden.</w:t>
      </w:r>
    </w:p>
    <w:p>
      <w:r>
        <w:t xml:space="preserve">(2) Die Bewerberinnen und Bewerber dürfen im Fach Englisch unmittelbar vor der schriftlichen Prüfung einige Unterrichtsstunden in einer Abschlussklasse besuchen.</w:t>
      </w:r>
    </w:p>
    <w:p>
      <w:r>
        <w:t xml:space="preserve">(3) Es gelten die §§ 27 bis 39, soweit nachfolgend nichts anderes bestimmt ist.</w:t>
      </w:r>
    </w:p>
    <w:p>
      <w:r>
        <w:rPr>
          <w:color w:val="555555"/>
          <w:sz w:val="17"/>
        </w:rPr>
        <w:t xml:space="preserve">Zitiervorschlag: § 40 WSO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https://recht.nulegal.eu/gesetze/WSO/40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