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WSO (Bayern) — Bildung der Jahresfortgangsnote</w:t>
      </w:r>
    </w:p>
    <w:p>
      <w:r>
        <w:rPr>
          <w:color w:val="555555"/>
          <w:sz w:val="18"/>
        </w:rPr>
        <w:t xml:space="preserve">Wirtschaftsschulordnung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Jahresfortgangsnote wird aus den Noten der jeweiligen Leistungsnachweise gemäß § 12 Abs. 1 gebildet. Die Noten aus den Schulaufgaben haben doppeltes Gewicht.</w:t>
      </w:r>
    </w:p>
    <w:p>
      <w:r>
        <w:t xml:space="preserve">(2) Hat eine Schülerin oder ein Schüler außerhalb des stundenplanmäßigen Unterrichts in Schulveranstaltungen besondere Leistungen erzielt, können diese in der Jahresfortgangsnote im entsprechenden Fach angemessen berücksichtigt werden.</w:t>
      </w:r>
    </w:p>
    <w:p>
      <w:r>
        <w:rPr>
          <w:color w:val="555555"/>
          <w:sz w:val="17"/>
        </w:rPr>
        <w:t xml:space="preserve">Zitiervorschlag: § 18 WSO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https://recht.nulegal.eu/gesetze/WSO/18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