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WSG 2020 — Auslandsvergütung</w:t>
      </w:r>
    </w:p>
    <w:p>
      <w:r>
        <w:rPr>
          <w:color w:val="555555"/>
          <w:sz w:val="18"/>
        </w:rPr>
        <w:t xml:space="preserve">Wehrsoldgesetz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Soldatinnen und Soldaten, die an einer allgemeinen Verwendung im Ausland im Sinne des § 52 Absatz 1 Satz 1 des Bundesbesoldungsgesetzes teilnehmen, erhalten eine Auslandsvergütung unter den gleichen Voraussetzungen, unter denen Besoldungsempfängerinnen und Besoldungsempfängern an demselben Dienstort Auslandsdienstbezüge nach § 52 des Bundesbesoldungsgesetzes zustehen.</w:t>
      </w:r>
    </w:p>
    <w:p>
      <w:r>
        <w:t xml:space="preserve">(2) Die Höhe der Auslandsvergütung bemisst sich nach Spalte 5 der Tabelle in der Anlage.</w:t>
      </w:r>
    </w:p>
    <w:p>
      <w:r>
        <w:rPr>
          <w:color w:val="555555"/>
          <w:sz w:val="17"/>
        </w:rPr>
        <w:t xml:space="preserve">Zitiervorschlag: § 6 WSG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https://recht.nulegal.eu/gesetze/WSG%202020/6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