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WSG 2020 — Anwendung von Vorschriften des Bundesbesoldungsgesetzes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§ 3 Absatz 3 bis 6, § 6 Absatz 1 Satz 1 sowie die §§ 9, 9a, 11, 12, 17, 17a und 42b des Bundesbesoldungsgesetzes gelten entsprechend.</w:t>
      </w:r>
    </w:p>
    <w:p>
      <w:r>
        <w:t xml:space="preserve">(2) Sofern dieses Gesetz auf Leistungen nach dem Bundesbesoldungsgesetz Bezug nimmt und diese Leistungen nach Besoldungsgruppen differenziert sind, gilt folgende Zuordnung:</w:t>
      </w:r>
    </w:p>
    <w:p>
      <w:pPr>
        <w:ind w:left="420"/>
      </w:pPr>
      <w:r>
        <w:t xml:space="preserve">1. die Wehrsoldgruppen 1 und 2 entsprechen der Besoldungsgruppe A 3,</w:t>
      </w:r>
    </w:p>
    <w:p>
      <w:pPr>
        <w:ind w:left="420"/>
      </w:pPr>
      <w:r>
        <w:t xml:space="preserve">2. die Wehrsoldgruppen 3 und 4 entsprechen der Besoldungsgruppe A 4.</w:t>
      </w:r>
    </w:p>
    <w:p>
      <w:r>
        <w:rPr>
          <w:color w:val="555555"/>
          <w:sz w:val="17"/>
        </w:rPr>
        <w:t xml:space="preserve">Zitiervorschlag: § 3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