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WSG 2020 — Anspruch auf Wehrsold</w:t>
      </w:r>
    </w:p>
    <w:p>
      <w:r>
        <w:rPr>
          <w:color w:val="555555"/>
          <w:sz w:val="18"/>
        </w:rPr>
        <w:t xml:space="preserve">Wehrsoldgesetz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Soweit gesetzlich nichts anderes bestimmt ist, besteht der Anspruch auf Wehrsold für die Zeit vom Tag des Dienstantritts bis zum Ablauf des Tages, an dem das Wehrdienstverhältnis endet.</w:t>
      </w:r>
    </w:p>
    <w:p>
      <w:r>
        <w:rPr>
          <w:color w:val="555555"/>
          <w:sz w:val="17"/>
        </w:rPr>
        <w:t xml:space="preserve">Zitiervorschlag: § 2 WSG 2020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https://recht.nulegal.eu/gesetze/WSG%202020/2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