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WSF-KostV</w:t>
      </w:r>
    </w:p>
    <w:p>
      <w:r>
        <w:rPr>
          <w:color w:val="555555"/>
          <w:sz w:val="18"/>
        </w:rPr>
        <w:t xml:space="preserve">Wirtschaftsstabilisierungsfonds-Kostenverordnung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Auf Grund des § 19 Absatz 2 und 3 des Stabilisierungsfondsgesetzes, von denen Absatz 2 durch Artikel 2 Nummer 3 Buchstabe b des Gesetzes vom 10. Juli 2020 (BGBl. I S. 1633) geändert und Absatz 3 durch Artikel 2 Nummer 3 Buchstabe c des Gesetzes vom 10. Juli 2020 (BGBl. I S. 1633) eingefügt worden ist, verordnet das Bundesministerium der Finanzen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WSF-KostV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https://recht.nulegal.eu/gesetze/WSF-KostV/eingangsformel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