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WSF-ÜV — Sonstige Befugnisse des Bundesministeriums der Finanzen</w:t>
      </w:r>
    </w:p>
    <w:p>
      <w:r>
        <w:rPr>
          <w:color w:val="555555"/>
          <w:sz w:val="18"/>
        </w:rPr>
        <w:t xml:space="preserve">Wirtschaftsstabilisierungsfonds-Übertragungsverordnung</w:t>
      </w:r>
    </w:p>
    <w:p>
      <w:r>
        <w:rPr>
          <w:color w:val="555555"/>
          <w:sz w:val="18"/>
        </w:rPr>
        <w:t xml:space="preserve">Stand: 08.10.2020 (konsolidierte Textfassung, kein amtliches Inkrafttretensdatum)</w:t>
      </w:r>
    </w:p>
    <w:p>
      <w:r>
        <w:t xml:space="preserve">Das Bundesministerium der Finanzen kann im Einvernehmen mit dem Bundesministerium für Wirtschaft und Energie der Kreditanstalt für Wiederaufbau hinsichtlich der dieser nach § 4 übertragenen Aufgaben</w:t>
      </w:r>
    </w:p>
    <w:p>
      <w:pPr>
        <w:ind w:left="420"/>
      </w:pPr>
      <w:r>
        <w:t xml:space="preserve">1. Weisungen erteilen,</w:t>
      </w:r>
    </w:p>
    <w:p>
      <w:pPr>
        <w:ind w:left="420"/>
      </w:pPr>
      <w:r>
        <w:t xml:space="preserve">2. Entscheidungen nach dem Stabilisierungsfondsgesetz und dieser Verordnung sowie Maßnahmen im Rahmen der Verwaltung des Fonds selbst treffen und</w:t>
      </w:r>
    </w:p>
    <w:p>
      <w:pPr>
        <w:ind w:left="420"/>
      </w:pPr>
      <w:r>
        <w:t xml:space="preserve">3. sonstige Durchführungshinweise und Vorgaben für die Wahrnehmung der an die Kreditanstalt für Wiederaufbau übertragenen Aufgaben festlegen.</w:t>
      </w:r>
    </w:p>
    <w:p>
      <w:r>
        <w:rPr>
          <w:color w:val="555555"/>
          <w:sz w:val="17"/>
        </w:rPr>
        <w:t xml:space="preserve">Zitiervorschlag: § 9 WSF-ÜV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https://recht.nulegal.eu/gesetze/WSF-%C3%9CV/9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