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WSEVergV</w:t>
      </w:r>
    </w:p>
    <w:p>
      <w:r>
        <w:rPr>
          <w:color w:val="555555"/>
          <w:sz w:val="18"/>
        </w:rPr>
        <w:t xml:space="preserve">Wehrsoldempfängervergütungsverordnung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2 Absatz 5 des Wehrsoldgesetzes in der Fassung der Bekanntmachung vom 13. August 2008 (BGBl. I S. 1718) verordnet das Bundesministerium der Verteidigung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WSEVergV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