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WSEVergV — Inkrafttreten, Außerkrafttreten</w:t>
      </w:r>
    </w:p>
    <w:p>
      <w:r>
        <w:rPr>
          <w:color w:val="555555"/>
          <w:sz w:val="18"/>
        </w:rPr>
        <w:t xml:space="preserve">Wehrsoldempfängervergütungsverordnung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mit Wirkung vom 1. Juli 2012 in Kraft. Gleichzeitig tritt die Verordnung über den erhöhten Wehrsold für Soldaten mit besonderer zeitlicher Belastung vom 2. Juni 1989 (BGBl. I S. 1076), die zuletzt durch Artikel 5 des Gesetzes vom 31. Juli 2010 (BGBl. I S. 1052) geändert worden ist, außer Kraft.</w:t>
      </w:r>
    </w:p>
    <w:p>
      <w:r>
        <w:rPr>
          <w:color w:val="555555"/>
          <w:sz w:val="17"/>
        </w:rPr>
        <w:t xml:space="preserve">Zitiervorschlag: § 4 WSEVergV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https://recht.nulegal.eu/gesetze/WSEVergV/4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