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WSEVergV — Ausschluss des Anspruchs</w:t>
      </w:r>
    </w:p>
    <w:p>
      <w:r>
        <w:rPr>
          <w:color w:val="555555"/>
          <w:sz w:val="18"/>
        </w:rPr>
        <w:t xml:space="preserve">Wehrsoldempfängervergütungsverordnung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Vergütung wird nicht gewährt</w:t>
      </w:r>
    </w:p>
    <w:p>
      <w:pPr>
        <w:ind w:left="420"/>
      </w:pPr>
      <w:r>
        <w:t xml:space="preserve">1. neben doppeltem Wehrsold nach § 2 Absatz 2 des Wehrsoldgesetzes, neben einem Auslandsverwendungszuschlag nach § 8f des Wehrsoldgesetzes oder neben einem Zuschlag nach § 10 Absatz 2 des Unterhaltssicherungsgesetzes,</w:t>
      </w:r>
    </w:p>
    <w:p>
      <w:pPr>
        <w:ind w:left="420"/>
      </w:pPr>
      <w:r>
        <w:t xml:space="preserve">2. für zusätzlichen Dienst als erzieherische Maßnahme oder für Dienst während der Vollstreckung einer gerichtlich angeordneten Freiheitsentziehung, eines Disziplinararrests oder einer Ausgangsbeschränkung,</w:t>
      </w:r>
    </w:p>
    <w:p>
      <w:pPr>
        <w:ind w:left="420"/>
      </w:pPr>
      <w:r>
        <w:t xml:space="preserve">3. im Spannungs- oder Verteidigungsfall oder nach einem Beschluss nach Artikel 80a Absatz 3 Satz 1 des Grundgesetzes,</w:t>
      </w:r>
    </w:p>
    <w:p>
      <w:pPr>
        <w:ind w:left="420"/>
      </w:pPr>
      <w:r>
        <w:t xml:space="preserve">4. für Dienste zur Erhöhung der Bereitschaft der Streitkräfte, die das Bundesministerium der Verteidigung anordnet, um die notwendige Reaktionsfähigkeit der Streitkräfte zur Wahrnehmung ihrer Aufgaben herzustellen.</w:t>
      </w:r>
    </w:p>
    <w:p>
      <w:r>
        <w:rPr>
          <w:color w:val="555555"/>
          <w:sz w:val="17"/>
        </w:rPr>
        <w:t xml:space="preserve">Zitiervorschlag: § 3 WSEVergV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