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WSEVergV — Voraussetzungen des Anspruchs</w:t>
      </w:r>
    </w:p>
    <w:p>
      <w:r>
        <w:rPr>
          <w:color w:val="555555"/>
          <w:sz w:val="18"/>
        </w:rPr>
        <w:t xml:space="preserve">Wehrsoldempfängervergütungsverordnung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Ein erhöhter Wehrsold nach § 2 Absatz 5 des Wehrsoldgesetzes in Form einer Vergütung wird gewährt, wenn</w:t>
      </w:r>
    </w:p>
    <w:p>
      <w:pPr>
        <w:ind w:left="420"/>
      </w:pPr>
      <w:r>
        <w:t xml:space="preserve">1. ein Dienst länger als 12 Stunden dauert und nicht durch Pausen unterbrochen ist, die jeweils länger als 1 Stunde oder insgesamt länger als ein Sechstel der Dienstzeit dauern,</w:t>
      </w:r>
    </w:p>
    <w:p>
      <w:pPr>
        <w:ind w:left="420"/>
      </w:pPr>
      <w:r>
        <w:t xml:space="preserve">2. im Kalendermonat</w:t>
      </w:r>
    </w:p>
    <w:p>
      <w:pPr>
        <w:ind w:left="780"/>
      </w:pPr>
      <w:r>
        <w:t xml:space="preserve">a) bereits entweder ein Dienst von mehr als 16 Stunden geleistet worden ist oder zwei Dienste von mehr als 12 Stunden geleistet worden sind oder</w:t>
      </w:r>
    </w:p>
    <w:p>
      <w:pPr>
        <w:ind w:left="780"/>
      </w:pPr>
      <w:r>
        <w:t xml:space="preserve">b) eine Freistellung vom Dienst von einem Tag gewährt worden ist oder gleichzeitig gewährt wird und</w:t>
      </w:r>
    </w:p>
    <w:p>
      <w:pPr>
        <w:ind w:left="420"/>
      </w:pPr>
      <w:r>
        <w:t xml:space="preserve">3. die wöchentliche Rahmendienstzeit oder bei Schichtdienst die entsprechende Dienstzeit überschritten worden ist.</w:t>
      </w:r>
    </w:p>
    <w:p>
      <w:r>
        <w:t xml:space="preserve">Die Dienste nach Satz 1 Nummer 1 und 2 Buchstabe a müssen angeordnet oder genehmigt worden sein.</w:t>
      </w:r>
    </w:p>
    <w:p>
      <w:r>
        <w:t xml:space="preserve">(2) Bei einem Dienst von mehr als 24 Stunden gilt die über 24 Stunden hinaus gehende Zeit als neuer Dienst.</w:t>
      </w:r>
    </w:p>
    <w:p>
      <w:r>
        <w:rPr>
          <w:color w:val="555555"/>
          <w:sz w:val="17"/>
        </w:rPr>
        <w:t xml:space="preserve">Zitiervorschlag: § 1 WSEVergV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https://recht.nulegal.eu/gesetze/WSEVergV/1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