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WSEMVergV — Ausschluss des Anspruchs</w:t>
      </w:r>
    </w:p>
    <w:p>
      <w:r>
        <w:rPr>
          <w:color w:val="555555"/>
          <w:sz w:val="18"/>
        </w:rPr>
        <w:t xml:space="preserve">Wehrsoldempfängermehrarbeitsvergütungsverordnung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Der erhöhte Wehrsold wird nicht gewährt neben</w:t>
      </w:r>
    </w:p>
    <w:p>
      <w:pPr>
        <w:ind w:left="420"/>
      </w:pPr>
      <w:r>
        <w:t xml:space="preserve">1. doppeltem Wehrsold nach § 2 Absatz 2 des Wehrsoldgesetzes,</w:t>
      </w:r>
    </w:p>
    <w:p>
      <w:pPr>
        <w:ind w:left="420"/>
      </w:pPr>
      <w:r>
        <w:t xml:space="preserve">2. einem Auslandsverwendungszuschlag nach § 8f des Wehrsoldgesetzes,</w:t>
      </w:r>
    </w:p>
    <w:p>
      <w:pPr>
        <w:ind w:left="420"/>
      </w:pPr>
      <w:r>
        <w:t xml:space="preserve">3. einem Zuschlag nach § 10 Absatz 2 des Unterhaltssicherungsgesetzes oder</w:t>
      </w:r>
    </w:p>
    <w:p>
      <w:pPr>
        <w:ind w:left="420"/>
      </w:pPr>
      <w:r>
        <w:t xml:space="preserve">4. Dienstgeld nach § 11 des Unterhaltssicherungsgesetzes.</w:t>
      </w:r>
    </w:p>
    <w:p>
      <w:r>
        <w:rPr>
          <w:color w:val="555555"/>
          <w:sz w:val="17"/>
        </w:rPr>
        <w:t xml:space="preserve">Zitiervorschlag: § 4 WSEMVergV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https://recht.nulegal.eu/gesetze/WSEMVergV/4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