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WSEMVergV — Voraussetzungen des Anspruchs</w:t>
      </w:r>
    </w:p>
    <w:p>
      <w:r>
        <w:rPr>
          <w:color w:val="555555"/>
          <w:sz w:val="18"/>
        </w:rPr>
        <w:t xml:space="preserve">Wehrsoldempfängermehrarbeitsvergütungsverordnung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Soldatinnen und Soldaten nach § 1 des Wehrsoldgesetzes kann nach § 2 Absatz 5 Satz 1 des Wehrsoldgesetzes ein erhöhter Wehrsold gewährt werden, soweit Mehrarbeit geleistet wird im Rahmen eines Dienstes</w:t>
      </w:r>
    </w:p>
    <w:p>
      <w:pPr>
        <w:ind w:left="420"/>
      </w:pPr>
      <w:r>
        <w:t xml:space="preserve">1. im Truppendienst,</w:t>
      </w:r>
    </w:p>
    <w:p>
      <w:pPr>
        <w:ind w:left="420"/>
      </w:pPr>
      <w:r>
        <w:t xml:space="preserve">2. auf Grund eines Dienstplanes oder</w:t>
      </w:r>
    </w:p>
    <w:p>
      <w:pPr>
        <w:ind w:left="420"/>
      </w:pPr>
      <w:r>
        <w:t xml:space="preserve">3. zur Herbeiführung eines im öffentlichen Interesse liegenden unaufschiebbaren und termingebundenen Ergebnisses.</w:t>
      </w:r>
    </w:p>
    <w:p>
      <w:r>
        <w:t xml:space="preserve">(2) Der erhöhte Wehrsold wird gewährt, wenn die Mehrarbeit</w:t>
      </w:r>
    </w:p>
    <w:p>
      <w:pPr>
        <w:ind w:left="420"/>
      </w:pPr>
      <w:r>
        <w:t xml:space="preserve">1. schriftlich angeordnet oder genehmigt wurde,</w:t>
      </w:r>
    </w:p>
    <w:p>
      <w:pPr>
        <w:ind w:left="420"/>
      </w:pPr>
      <w:r>
        <w:t xml:space="preserve">2. aus zwingenden dienstlichen Gründen nicht durch Dienstbefreiung innerhalb eines Jahres ausgeglichen werden kann und</w:t>
      </w:r>
    </w:p>
    <w:p>
      <w:pPr>
        <w:ind w:left="420"/>
      </w:pPr>
      <w:r>
        <w:t xml:space="preserve">3. die sich aus der regelmäßigen wöchentlichen Arbeitszeit ergebende Arbeitszeit um mehr als fünf Stunden im Kalendermonat (Mindeststundenzahl) übersteigt.</w:t>
      </w:r>
    </w:p>
    <w:p>
      <w:r>
        <w:t xml:space="preserve">(3) Soweit nur während eines Teils eines Kalendermonats Dienst geleistet wurde, gilt die Mindeststundenzahl für die jeweils anteilige Arbeitszeit.</w:t>
      </w:r>
    </w:p>
    <w:p>
      <w:r>
        <w:t xml:space="preserve">(4) Ist keine feste tägliche Arbeitszeit bestimmt, so ist eine Überschreitung der regelmäßigen wöchentlichen Arbeitszeit in einer Kalenderwoche, die im Vormonat begonnen hat, dem laufenden Kalendermonat zuzurechnen.</w:t>
      </w:r>
    </w:p>
    <w:p>
      <w:r>
        <w:rPr>
          <w:color w:val="555555"/>
          <w:sz w:val="17"/>
        </w:rPr>
        <w:t xml:space="preserve">Zitiervorschlag: § 1 WSEMVergV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https://recht.nulegal.eu/gesetze/WSEMVergV/1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