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WRegV — Anforderung ergänzender Informationen durch Auftraggeber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(1) Fordert ein Auftraggeber nach § 6 Absatz 6 Satz 1 des Wettbewerbsregistergesetzes von der mitteilungspflichtigen Behörde ergänzende Informationen an, unterliegen Art und Umfang der Auskunftserteilung dem pflichtgemäßen Ermessen der mitteilungspflichtigen Behörde.</w:t>
      </w:r>
    </w:p>
    <w:p>
      <w:r>
        <w:t xml:space="preserve">(2) Die Informationen nach Absatz 1 können nach Maßgabe des § 32b Absatz 4 der Strafprozessordnung durch Übersendung von Abschriften oder beglaubigten Abschriften jeweils in Papierform oder als elektronisches Dokument erfolgen.</w:t>
      </w:r>
    </w:p>
    <w:p>
      <w:r>
        <w:t xml:space="preserve">(3) Eine Information unterbleibt, soweit ihr eine bundesrechtliche Verwendungsregelung oder Zwecke des Straf- oder Ordnungswidrigkeitenverfahrens entgegenstehen.</w:t>
      </w:r>
    </w:p>
    <w:p>
      <w:r>
        <w:rPr>
          <w:color w:val="555555"/>
          <w:sz w:val="17"/>
        </w:rPr>
        <w:t xml:space="preserve">Zitiervorschlag: § 9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