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WRegV — Elektronische Kommunikation mit Unternehmen</w:t>
      </w:r>
    </w:p>
    <w:p>
      <w:r>
        <w:rPr>
          <w:color w:val="555555"/>
          <w:sz w:val="18"/>
        </w:rPr>
        <w:t xml:space="preserve">Wettbewerbsregisterverordnung</w:t>
      </w:r>
    </w:p>
    <w:p>
      <w:r>
        <w:rPr>
          <w:color w:val="555555"/>
          <w:sz w:val="18"/>
        </w:rPr>
        <w:t xml:space="preserve">Stand: 24.04.2021 (konsolidierte Textfassung, kein amtliches Inkrafttretensdatum)</w:t>
      </w:r>
    </w:p>
    <w:p>
      <w:r>
        <w:t xml:space="preserve">Die Kommunikation von Unternehmen mit der Registerbehörde soll elektronisch erfolgen. Hierzu zählt insbesondere die Nutzung eines Portals nach § 1 Absatz 3 Nummer 1, sofern die Registerbehörde diese Möglichkeit eröffnet. Die von der Registerbehörde auf ihrer Internetseite bereitgestellten Standardformulare sind zu verwenden.</w:t>
      </w:r>
    </w:p>
    <w:p>
      <w:r>
        <w:rPr>
          <w:color w:val="555555"/>
          <w:sz w:val="17"/>
        </w:rPr>
        <w:t xml:space="preserve">Zitiervorschlag: § 7 WRegV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https://recht.nulegal.eu/gesetze/WRegV/7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