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WRegV — Pflichten der mitteilungspflichtigen Behörden</w:t>
      </w:r>
    </w:p>
    <w:p>
      <w:r>
        <w:rPr>
          <w:color w:val="555555"/>
          <w:sz w:val="18"/>
        </w:rPr>
        <w:t xml:space="preserve">Wettbewerbsregisterverordnung</w:t>
      </w:r>
    </w:p>
    <w:p>
      <w:r>
        <w:rPr>
          <w:color w:val="555555"/>
          <w:sz w:val="18"/>
        </w:rPr>
        <w:t xml:space="preserve">Stand: 24.04.2021 (konsolidierte Textfassung, kein amtliches Inkrafttretensdatum)</w:t>
      </w:r>
    </w:p>
    <w:p>
      <w:r>
        <w:t xml:space="preserve">(1) Die mitteilungspflichtigen Behörden haben der Registerbehörde die in § 3 Absatz 1 des Wettbewerbsregistergesetzes bezeichneten Daten unter Beachtung der nachfolgenden Vorgaben elektronisch über das Portal nach § 1 Absatz 3 Nummer 1 oder die amtliche Schnittstelle nach § 1 Absatz 3 Nummer 2 zu übermitteln. Die Registerbehörde hat der übermittelnden Stelle eine automatisierte elektronische Eingangsbestätigung auszustellen.</w:t>
      </w:r>
    </w:p>
    <w:p>
      <w:r>
        <w:t xml:space="preserve">(2) Zu den nach § 4 Absatz 1 Satz 1 in Verbindung mit § 3 Absatz 1 des Wettbewerbsregistergesetzes zu übermittelnden Daten gehören auch folgende Angaben:</w:t>
      </w:r>
    </w:p>
    <w:p>
      <w:pPr>
        <w:ind w:left="420"/>
      </w:pPr>
      <w:r>
        <w:t xml:space="preserve">1. das Gericht, das die einzutragende Entscheidung verhängt oder erlassen hat, und das Aktenzeichen,</w:t>
      </w:r>
    </w:p>
    <w:p>
      <w:pPr>
        <w:ind w:left="420"/>
      </w:pPr>
      <w:r>
        <w:t xml:space="preserve">2. soweit einem Unternehmen das Fehlverhalten einer natürlichen Person nach § 2 Absatz 3 Satz 2 des Wettbewerbsregistergesetzes zuzurechnen ist, die die Zurechnung begründenden Umstände:</w:t>
      </w:r>
    </w:p>
    <w:p>
      <w:pPr>
        <w:ind w:left="780"/>
      </w:pPr>
      <w:r>
        <w:t xml:space="preserve">a) die im Unternehmen zur Tatzeit ausgeübte Leitungsfunktion, insbesondere unter Berücksichtigung der in § 30 Absatz 1 Nummer 1 bis 5 des Gesetzes über Ordnungswidrigkeiten genannten Funktionen,</w:t>
      </w:r>
    </w:p>
    <w:p>
      <w:pPr>
        <w:ind w:left="780"/>
      </w:pPr>
      <w:r>
        <w:t xml:space="preserve">b) das Handeln oder Unterlassen der natürlichen Person in Ausübung dieser Funktion;</w:t>
      </w:r>
    </w:p>
    <w:p>
      <w:pPr>
        <w:ind w:left="420"/>
      </w:pPr>
      <w:r>
        <w:t xml:space="preserve">3. zur eintragungspflichtigen Tat:</w:t>
      </w:r>
    </w:p>
    <w:p>
      <w:pPr>
        <w:ind w:left="780"/>
      </w:pPr>
      <w:r>
        <w:t xml:space="preserve">a) Bezeichnung der zugrunde liegenden Straftat oder Ordnungswidrigkeit,</w:t>
      </w:r>
    </w:p>
    <w:p>
      <w:pPr>
        <w:ind w:left="780"/>
      </w:pPr>
      <w:r>
        <w:t xml:space="preserve">b) Tatzeit.</w:t>
      </w:r>
    </w:p>
    <w:p>
      <w:r>
        <w:t xml:space="preserve">(3) Die mitteilungspflichtige Behörde ist für die Rechtmäßigkeit der Übermittlung sowie die Richtigkeit und Vollständigkeit der übermittelten Daten verantwortlich. Erlangt sie Kenntnis davon, dass die übermittelten Daten unrichtig sind oder sich nachträglich geändert haben, teilt sie dies der Registerbehörde unverzüglich mit. Die Registerbehörde hat im Falle einer Mitteilung nach Satz 2 die betreffenden Eintragungen im Wettbewerbsregister entsprechend zu löschen oder zu ändern.</w:t>
      </w:r>
    </w:p>
    <w:p>
      <w:r>
        <w:t xml:space="preserve">(4) Die mitteilungspflichtige Behörde hat an die Registerbehörde die in § 3 Absatz 1 in Verbindung mit § 4 Absatz 1 Satz 1 des Wettbewerbsregistergesetzes und die in § 4 Absatz 2 genannten Daten mit folgender Maßgabe zu übermitteln:</w:t>
      </w:r>
    </w:p>
    <w:p>
      <w:pPr>
        <w:ind w:left="420"/>
      </w:pPr>
      <w:r>
        <w:t xml:space="preserve">1. rechtskräftige strafgerichtliche Verurteilungen, Strafbefehle und Bußgeldbescheide nach § 2 Absatz 1 des Wettbewerbsregistergesetzes, soweit diese ab dem vom Bundesministerium für Wirtschaft und Energie nach § 12 Absatz 2 Satz 1 des Wettbewerbsregistergesetzes im Bundesanzeiger bekannt zu machenden Tag rechtskräftig werden,</w:t>
      </w:r>
    </w:p>
    <w:p>
      <w:pPr>
        <w:ind w:left="420"/>
      </w:pPr>
      <w:r>
        <w:t xml:space="preserve">2. Bußgeldentscheidungen nach § 2 Absatz 2 Satz 1 des Wettbewerbsregistergesetzes, soweit diese ab dem vom Bundesministerium für Wirtschaft und Energie nach § 12 Absatz 2 Satz 1 des Wettbewerbsregistergesetzes im Bundesanzeiger bekannt zu machenden Tag ergangen sind.</w:t>
      </w:r>
    </w:p>
    <w:p>
      <w:r>
        <w:rPr>
          <w:color w:val="555555"/>
          <w:sz w:val="17"/>
        </w:rPr>
        <w:t xml:space="preserve">Zitiervorschlag: § 4 WRegV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