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WRegV — Nutzung der amtlichen Schnittstelle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(1) Hat die Registerbehörde eine amtliche Schnittstelle nach § 1 Absatz 3 Nummer 2 eingerichtet, kann die Registerbehörde diese mitteilungspflichtigen Behörden, öffentlichen Auftraggebern im Sinne des § 99 Nummer 1 bis 3 des Gesetzes gegen Wettbewerbsbeschränkungen und amtlichen Verzeichnisstellen zur Nutzung zur Verfügung stellen.</w:t>
      </w:r>
    </w:p>
    <w:p>
      <w:r>
        <w:t xml:space="preserve">(2) Soweit die Registerbehörde für die Nutzung der amtlichen Schnittstelle nach § 1 Absatz 3 Nummer 2 eine Registrierung verlangt, findet § 2 entsprechende Anwendung.</w:t>
      </w:r>
    </w:p>
    <w:p>
      <w:r>
        <w:rPr>
          <w:color w:val="555555"/>
          <w:sz w:val="17"/>
        </w:rPr>
        <w:t xml:space="preserve">Zitiervorschlag: § 3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