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WRegV — Inkrafttreten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15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