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WRegV — Veröffentlichungen der Registerbehörde zur elektronischen Kommunikation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Die Registerbehörde veröffentlicht auf ihrer Internetseite Einzelheiten zur elektronischen Kommunikation, insbesondere zu:</w:t>
      </w:r>
    </w:p>
    <w:p>
      <w:pPr>
        <w:ind w:left="420"/>
      </w:pPr>
      <w:r>
        <w:t xml:space="preserve">1. der Zulassung von sonstigen bundeseinheitlichen Übermittlungswegen im Sinne des § 1 Absatz 3 Nummer 7 durch die Registerbehörde,</w:t>
      </w:r>
    </w:p>
    <w:p>
      <w:pPr>
        <w:ind w:left="420"/>
      </w:pPr>
      <w:r>
        <w:t xml:space="preserve">2. den zugelassenen Dateiformaten nach § 1 Absatz 4 und den technischen Anforderungen an die zu übermittelnden Daten und die dabei zu verwendenden elektronischen Mittel,</w:t>
      </w:r>
    </w:p>
    <w:p>
      <w:pPr>
        <w:ind w:left="420"/>
      </w:pPr>
      <w:r>
        <w:t xml:space="preserve">3. den Anforderungen an die Registrierung nach den §§ 2 und 3 und</w:t>
      </w:r>
    </w:p>
    <w:p>
      <w:pPr>
        <w:ind w:left="420"/>
      </w:pPr>
      <w:r>
        <w:t xml:space="preserve">4. den nach dieser Verordnung bereitgestellten Standardformularen.</w:t>
      </w:r>
    </w:p>
    <w:p>
      <w:r>
        <w:rPr>
          <w:color w:val="555555"/>
          <w:sz w:val="17"/>
        </w:rPr>
        <w:t xml:space="preserve">Zitiervorschlag: § 14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