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WRegV — Datenschutz</w:t>
      </w:r>
    </w:p>
    <w:p>
      <w:r>
        <w:rPr>
          <w:color w:val="555555"/>
          <w:sz w:val="18"/>
        </w:rPr>
        <w:t xml:space="preserve">Wettbewerbsregisterverordnung</w:t>
      </w:r>
    </w:p>
    <w:p>
      <w:r>
        <w:rPr>
          <w:color w:val="555555"/>
          <w:sz w:val="18"/>
        </w:rPr>
        <w:t xml:space="preserve">Stand: 24.04.2021 (konsolidierte Textfassung, kein amtliches Inkrafttretensdatum)</w:t>
      </w:r>
    </w:p>
    <w:p>
      <w:r>
        <w:t xml:space="preserve">Bei Datenübermittlungen an oder durch die Registerbehörde müssen die Daten vor einem unbefugten Zugriff Dritter geschützt sein.</w:t>
      </w:r>
    </w:p>
    <w:p>
      <w:r>
        <w:rPr>
          <w:color w:val="555555"/>
          <w:sz w:val="17"/>
        </w:rPr>
        <w:t xml:space="preserve">Zitiervorschlag: § 12 WRegV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https://recht.nulegal.eu/gesetze/WRegV/12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