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WRegV — Anforderungen an vorzulegende Gutachten und Unterlagen zur Bewertung einer Selbstreinigung</w:t>
      </w:r>
    </w:p>
    <w:p>
      <w:r>
        <w:rPr>
          <w:color w:val="555555"/>
          <w:sz w:val="18"/>
        </w:rPr>
        <w:t xml:space="preserve">Wettbewerbsregisterverordnung</w:t>
      </w:r>
    </w:p>
    <w:p>
      <w:r>
        <w:rPr>
          <w:color w:val="555555"/>
          <w:sz w:val="18"/>
        </w:rPr>
        <w:t xml:space="preserve">Stand: 24.04.2021 (konsolidierte Textfassung, kein amtliches Inkrafttretensdatum)</w:t>
      </w:r>
    </w:p>
    <w:p>
      <w:r>
        <w:t xml:space="preserve">(1) Die Registerbehörde kann zur Bewertung eines Antrags nach § 8 Absatz 1 Satz 1 des Wettbewerbsregistergesetzes auf vorzeitige Löschung einer Eintragung wegen Selbstreinigung verlangen, dass das Unternehmen geeignete Gutachten oder andere Unterlagen zur Bewertung vorgenommener Selbstreinigungsmaßnahmen vorlegt. Die Registerbehörde kann Vorgaben hinsichtlich des zu begutachtenden Sachverhalts oder der zu begutachtenden Themenstellung machen. Die Registerbehörde ist befugt, für die Vorlage des Gutachtens eine angemessene Frist zu setzen.</w:t>
      </w:r>
    </w:p>
    <w:p>
      <w:r>
        <w:t xml:space="preserve">(2) Auswahl und Beauftragung des Gutachters obliegen dem Unternehmen. Der Gutachter muss sachkundig und unabhängig sein. Zur Beurteilung seiner Unabhängigkeit hat das Unternehmen der Registerbehörde mitzuteilen, ob und in welchem Umfang der Gutachter oder andere ihm zurechenbare Personen in den vergangenen zwei Jahren für das Unternehmen oder mit ihm nach § 36 Absatz 2 des Gesetzes gegen Wettbewerbsbeschränkungen verbundene Unternehmen tätig gewesen sind. Die Registerbehörde ist berechtigt, einen Gutachter abzulehnen, wenn er die Voraussetzungen nach Satz 2 nicht erfüllt. Wird ein Gutachter nach Satz 4 abgelehnt, kann das Unternehmen einen anderen Gutachter entsprechend den Anforderungen nach Satz 1 und 2 vorschlagen.</w:t>
      </w:r>
    </w:p>
    <w:p>
      <w:r>
        <w:t xml:space="preserve">(3) Das Gutachten muss objektiv und nachvollziehbar den Gegenstand der Untersuchung, die angewandten Methoden sowie die Ergebnisse der Untersuchung darlegen. Die dabei verwendeten Unterlagen und Nachweise sind beizufügen.</w:t>
      </w:r>
    </w:p>
    <w:p>
      <w:r>
        <w:rPr>
          <w:color w:val="555555"/>
          <w:sz w:val="17"/>
        </w:rPr>
        <w:t xml:space="preserve">Zitiervorschlag: § 11 WRegV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https://recht.nulegal.eu/gesetze/WRegV/11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