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WRegG — Löschung der Eintragung aus dem Wettbewerbsregister nach Fristablauf; Rechtswirkung der Löschung</w:t>
      </w:r>
    </w:p>
    <w:p>
      <w:r>
        <w:rPr>
          <w:color w:val="555555"/>
          <w:sz w:val="18"/>
        </w:rPr>
        <w:t xml:space="preserve">Wettbewerbsregistergesetz</w:t>
      </w:r>
    </w:p>
    <w:p>
      <w:r>
        <w:rPr>
          <w:color w:val="555555"/>
          <w:sz w:val="18"/>
        </w:rPr>
        <w:t xml:space="preserve">Stand: 10.06.2019 (konsolidierte Textfassung, kein amtliches Inkrafttretensdatum)</w:t>
      </w:r>
    </w:p>
    <w:p>
      <w:r>
        <w:t xml:space="preserve">(1) Eintragungen über Straftaten nach § 2 Absatz 1 Nummer 1 Buchstabe a, c und d werden spätestens nach Ablauf von fünf Jahren ab dem Tag der Rechts- oder Bestandskraft der Entscheidung gelöscht. Eintragungen von Bußgeldentscheidungen nach § 2 Absatz 2 werden spätestens nach Ablauf von drei Jahren ab dem Erlass der Bußgeldentscheidung gelöscht. Im Übrigen werden Eintragungen spätestens nach Ablauf von drei Jahren ab dem Tag gelöscht, an dem die Entscheidung unanfechtbar geworden ist. Bei mehreren Eintragungen wegen desselben Fehlverhaltens ist eine Löschung aller ein Unternehmen betreffenden Eintragungen vorzunehmen, wenn die Voraussetzungen der Löschung für eine Eintragung gegeben sind und dieselben Fristen für die Löschung gelten; bei unterschiedlichen Fristen ist die längere Frist maßgeblich. Die Regelungen des § 4 Absatz 2 Satz 2 und des § 8 Absatz 1 Satz 3 bleiben unberührt.</w:t>
      </w:r>
    </w:p>
    <w:p>
      <w:r>
        <w:t xml:space="preserve">(2) Ist eine Eintragung im Wettbewerbsregister nach Absatz 1 oder § 8 gelöscht worden, so darf die der Eintragung zugrunde liegende Straftat oder Ordnungswidrigkeit in Vergabeverfahren nicht mehr zum Nachteil des betroffenen Unternehmens verwertet werden. Die Ablehnung eines Löschungsantrags nach § 8 Absatz 1 durch die Registerbehörde ist für den Auftraggeber nicht bindend.</w:t>
      </w:r>
    </w:p>
    <w:p>
      <w:r>
        <w:rPr>
          <w:color w:val="555555"/>
          <w:sz w:val="17"/>
        </w:rPr>
        <w:t xml:space="preserve">Zitiervorschlag: § 7 WRegG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https://recht.nulegal.eu/gesetze/WRegG/7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