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WRegG — Gelegenheit zur Stellungnahme vor Eintragung in das Wettbewerbsregister; Auskunftsanspruch</w:t>
      </w:r>
    </w:p>
    <w:p>
      <w:r>
        <w:rPr>
          <w:color w:val="555555"/>
          <w:sz w:val="18"/>
        </w:rPr>
        <w:t xml:space="preserve">Wettbewerbsregistergesetz</w:t>
      </w:r>
    </w:p>
    <w:p>
      <w:r>
        <w:rPr>
          <w:color w:val="555555"/>
          <w:sz w:val="18"/>
        </w:rPr>
        <w:t xml:space="preserve">Stand: 25.01.2021 (konsolidierte Textfassung, kein amtliches Inkrafttretensdatum)</w:t>
      </w:r>
    </w:p>
    <w:p>
      <w:r>
        <w:t xml:space="preserve">(1) Vor der Eintragung in das Wettbewerbsregister informiert die Registerbehörde das betroffene Unternehmen in Textform über den Inhalt der geplanten Eintragung und gibt ihm Gelegenheit, innerhalb von zwei Wochen nach Zugang der Information Stellung zu nehmen. Weist das betroffene Unternehmen nach, dass die übermittelten Daten fehlerhaft sind, sieht die Registerbehörde von einer Eintragung ab oder korrigiert die fehlerhaften Daten. Die Registerbehörde kann die Frist zur Stellungnahme verlängern. § 8 Absatz 3 ist entsprechend anzuwenden.</w:t>
      </w:r>
    </w:p>
    <w:p>
      <w:r>
        <w:t xml:space="preserve">(2) Auf Antrag erteilt die Registerbehörde Unternehmen oder natürlichen Personen Auskunft über den sie betreffenden Inhalt des Wettbewerbsregisters. Unbeschadet des Bestehens datenschutzrechtlicher Auskunftsansprüche ist ein erneuter Antrag nach Satz 1 desselben Unternehmens oder derselben natürlichen Person erst nach Ablauf eines Jahres zulässig, es sei denn, es besteht ein berechtigtes Interesse. Die Registerbehörde erteilt mit Zustimmung des betreffenden Unternehmens auf Antrag auch einer Stelle, die ein amtliches Verzeichnis führt, das den Anforderungen des Artikels 64 der Richtlinie 2014/24/EU entspricht, Auskunft über den das Unternehmen betreffenden Inhalt des Wettbewerbsregisters.</w:t>
      </w:r>
    </w:p>
    <w:p>
      <w:r>
        <w:t xml:space="preserve">(3) Der Antrag nach Absatz 2 Satz 1 kann schriftlich mit amtlich oder öffentlich beglaubigter Unterschrift gestellt werden. Der Antragsteller hat seine Identität und, wenn er als gesetzlicher Vertreter handelt, zusätzlich seine Vertretungsmacht nachzuweisen. Für ein antragstellendes Unternehmen kann den Antrag nur ein gesetzlicher Vertreter stellen. Der Antragsteller kann sich bei der Antragstellung nicht durch einen Bevollmächtigten vertreten lassen.</w:t>
      </w:r>
    </w:p>
    <w:p>
      <w:r>
        <w:t xml:space="preserve">(4) Der Antrag nach Absatz 2 Satz 1 kann auch elektronisch gestellt werden. In diesem Fall bedarf es einer elektronischen Identifizierung.</w:t>
      </w:r>
    </w:p>
    <w:p>
      <w:r>
        <w:t xml:space="preserve">(5) Die Erteilung einer Auskunft nach Absatz 2 Satz 1 durch die Registerbehörde ist gebührenpflichtig.</w:t>
      </w:r>
    </w:p>
    <w:p>
      <w:r>
        <w:t xml:space="preserve">(6) Unternehmen, die in das Wettbewerbsregister eingetragen sind oder von einer geplanten Eintragung betroffen sind, können zur Geltendmachung oder Verteidigung ihrer rechtlichen Interessen im Hinblick auf die Eintragung verlangen, dass einem bevollmächtigten Rechtsanwalt unbeschränkte Akteneinsicht gewährt wird.</w:t>
      </w:r>
    </w:p>
    <w:p>
      <w:r>
        <w:t xml:space="preserve">(7) Für die Erteilung von Auskünften nach Artikel 15 der Verordnung (EU) 2016/679 des Europäischen Parlaments und des Rates vom 27. April 2016 zum Schutz natürlicher Personen bei der Verarbeitung personenbezogener Daten, zum freien Datenverkehr und zur Aufhebung der Richtlinie 95/46/EG gelten die Absätze 3 und 4 entsprechend.</w:t>
      </w:r>
    </w:p>
    <w:p>
      <w:r>
        <w:rPr>
          <w:color w:val="555555"/>
          <w:sz w:val="17"/>
        </w:rPr>
        <w:t xml:space="preserve">Zitiervorschlag: § 5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