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WRegG — Anwendungsbestimmungen</w:t>
      </w:r>
    </w:p>
    <w:p>
      <w:r>
        <w:rPr>
          <w:color w:val="555555"/>
          <w:sz w:val="18"/>
        </w:rPr>
        <w:t xml:space="preserve">Wettbewerbsregistergesetz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Bundesministerium für Wirtschaft und Energie hat</w:t>
      </w:r>
    </w:p>
    <w:p>
      <w:pPr>
        <w:ind w:left="420"/>
      </w:pPr>
      <w:r>
        <w:t xml:space="preserve">1. das Vorliegen der Voraussetzungen für die elektronische Datenübermittlung entsprechend § 9 Absatz 1 festzustellen und</w:t>
      </w:r>
    </w:p>
    <w:p>
      <w:pPr>
        <w:ind w:left="420"/>
      </w:pPr>
      <w:r>
        <w:t xml:space="preserve">2. die Feststellung nach Nummer 1 im Bundesanzeiger bekannt zu machen.</w:t>
      </w:r>
    </w:p>
    <w:p>
      <w:r>
        <w:t xml:space="preserve">(2) Die §§ 2 und 4 sind nach Ablauf des Monats, der auf den Tag der Bekanntmachung nach Absatz 1 Nummer 2 folgt, anzuwenden; dieser Tag ist vom Bundesministerium für Wirtschaft und Energie unverzüglich im Bundesanzeiger bekannt zu machen. § 5 Absatz 2 und § 6 sind sechs Monate nach dem in Satz 1 genannten Tag anzuwenden; abweichend hiervon kann die Registerbehörde einem Auftraggeber auf dessen Ersuchen die Möglichkeit zur Abfrage nach § 6 Absatz 1 und 2 bereits ab dem in Satz 1 bezeichneten Tag eröffnen. Bis zur verpflichtenden Anwendung der in Satz 2 bezeichneten Vorschriften sind die landesrechtlichen Vorschriften über die Errichtung und den Betrieb eines dem § 1 entsprechenden Registers weiter anzuwenden.</w:t>
      </w:r>
    </w:p>
    <w:p>
      <w:r>
        <w:rPr>
          <w:color w:val="555555"/>
          <w:sz w:val="17"/>
        </w:rPr>
        <w:t xml:space="preserve">Zitiervorschlag: § 12 WRegG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