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WRegG — Einrichtung des Wettbewerbsregisters</w:t>
      </w:r>
    </w:p>
    <w:p>
      <w:r>
        <w:rPr>
          <w:color w:val="555555"/>
          <w:sz w:val="18"/>
        </w:rPr>
        <w:t xml:space="preserve">Wettbewerbsregistergesetz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Bundeskartellamt (Registerbehörde) wird ein Register zum Schutz des Wettbewerbs um öffentliche Aufträge und Konzessionen (Wettbewerbsregister) eingerichtet und geführt.</w:t>
      </w:r>
    </w:p>
    <w:p>
      <w:r>
        <w:t xml:space="preserve">(2) Mit dem Wettbewerbsregister werden Auftraggebern im Sinne von § 98 des Gesetzes gegen Wettbewerbsbeschränkungen Informationen über Ausschlussgründe im Sinne der §§ 123 und 124 des Gesetzes gegen Wettbewerbsbeschränkungen zur Verfügung gestellt.</w:t>
      </w:r>
    </w:p>
    <w:p>
      <w:r>
        <w:t xml:space="preserve">(3) Das Wettbewerbsregister wird in Form einer elektronischen Datenbank geführt.</w:t>
      </w:r>
    </w:p>
    <w:p>
      <w:r>
        <w:rPr>
          <w:color w:val="555555"/>
          <w:sz w:val="17"/>
        </w:rPr>
        <w:t xml:space="preserve">Zitiervorschlag: § 1 WRegG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