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139 WRV</w:t>
      </w:r>
    </w:p>
    <w:p>
      <w:r>
        <w:rPr>
          <w:color w:val="555555"/>
          <w:sz w:val="18"/>
        </w:rPr>
        <w:t xml:space="preserve">Die Verfassung des Deutschen Reichs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Sonntag und die staatlich anerkannten Feiertage bleiben als Tage der Arbeitsruhe und der seelischen Erhebung gesetzlich geschützt.</w:t>
      </w:r>
    </w:p>
    <w:p>
      <w:r>
        <w:rPr>
          <w:color w:val="555555"/>
          <w:sz w:val="17"/>
        </w:rPr>
        <w:t xml:space="preserve">Zitiervorschlag: Art 139 WRV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https://recht.nulegal.eu/gesetze/WRV/139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